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color w:themeColor="text2" w:themeTint="99" w:val="548DD4"/>
          <w:sz w:val="48"/>
          <w:szCs w:val="48"/>
        </w:rPr>
      </w:pPr>
      <w:r>
        <w:rPr>
          <w:rFonts w:cs="Calibri" w:cstheme="minorHAnsi"/>
          <w:b/>
          <w:color w:themeColor="text2" w:themeTint="99" w:val="548DD4"/>
          <w:sz w:val="48"/>
          <w:szCs w:val="48"/>
        </w:rPr>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w:t>Pelton Parish Council</w:t>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mc:AlternateContent>
          <mc:Choice Requires="wpg">
            <w:drawing>
              <wp:anchor behindDoc="0" distT="0" distB="0" distL="0" distR="0" simplePos="0" locked="0" layoutInCell="1" allowOverlap="1" relativeHeight="2">
                <wp:simplePos x="0" y="0"/>
                <wp:positionH relativeFrom="column">
                  <wp:posOffset>-913765</wp:posOffset>
                </wp:positionH>
                <wp:positionV relativeFrom="paragraph">
                  <wp:posOffset>334010</wp:posOffset>
                </wp:positionV>
                <wp:extent cx="1367790" cy="886460"/>
                <wp:effectExtent l="0" t="334010" r="0" b="0"/>
                <wp:wrapNone/>
                <wp:docPr id="1" name=""/>
                <a:graphic xmlns:a="http://schemas.openxmlformats.org/drawingml/2006/main">
                  <a:graphicData uri="http://schemas.microsoft.com/office/word/2010/wordprocessingGroup">
                    <wpg:wgp>
                      <wpg:cNvGrpSpPr/>
                      <wpg:grpSpPr>
                        <a:xfrm>
                          <a:off x="0" y="0"/>
                          <a:ext cx="1367640" cy="886320"/>
                          <a:chOff x="0" y="0"/>
                          <a:chExt cx="1367640" cy="886320"/>
                        </a:xfrm>
                      </wpg:grpSpPr>
                      <wps:wsp>
                        <wps:cNvPr id="2" name=""/>
                        <wps:cNvSpPr/>
                        <wps:spPr>
                          <a:xfrm>
                            <a:off x="0" y="0"/>
                            <a:ext cx="1367640" cy="886320"/>
                          </a:xfrm>
                          <a:prstGeom prst="rect">
                            <a:avLst/>
                          </a:prstGeom>
                          <a:noFill/>
                          <a:ln w="0">
                            <a:noFill/>
                          </a:ln>
                        </wps:spPr>
                        <wps:style>
                          <a:lnRef idx="0"/>
                          <a:fillRef idx="0"/>
                          <a:effectRef idx="0"/>
                          <a:fontRef idx="minor"/>
                        </wps:style>
                        <wps:bodyPr/>
                      </wps:wsp>
                    </wpg:wgp>
                  </a:graphicData>
                </a:graphic>
              </wp:anchor>
            </w:drawing>
          </mc:Choice>
          <mc:Fallback>
            <w:pict>
              <v:group id="shape_0" editas="canvas" style="margin-left:-71.95pt;margin-top:26.3pt;width:107.7pt;height:69.8pt" coordorigin="-1439,526" coordsize="2154,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439;top:526;width:2153;height:1395;mso-wrap-style:none;v-text-anchor:middle" type="_x0000_t75">
                  <v:fill o:detectmouseclick="t" on="false"/>
                  <v:stroke color="#3465a4" joinstyle="round" endcap="flat"/>
                  <w10:wrap type="none"/>
                </v:shape>
              </v:group>
            </w:pict>
          </mc:Fallback>
        </mc:AlternateContent>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w:t>RISK ASSESSMENT</w:t>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w:t>March 202</w:t>
      </w:r>
      <w:r>
        <w:rPr>
          <w:rFonts w:cs="Calibri" w:cstheme="minorHAnsi"/>
          <w:b/>
          <w:color w:themeColor="text2" w:themeTint="99" w:val="548DD4"/>
          <w:sz w:val="48"/>
          <w:szCs w:val="48"/>
        </w:rPr>
        <w:t>6</w:t>
      </w:r>
    </w:p>
    <w:p>
      <w:pPr>
        <w:pStyle w:val="Normal"/>
        <w:jc w:val="center"/>
        <w:rPr>
          <w:rFonts w:cs="Calibri" w:cstheme="minorHAnsi"/>
          <w:b/>
          <w:color w:themeColor="text2" w:themeTint="99" w:val="548DD4"/>
          <w:sz w:val="16"/>
          <w:szCs w:val="16"/>
        </w:rPr>
      </w:pPr>
      <w:r>
        <w:rPr>
          <w:rFonts w:cs="Calibri" w:cstheme="minorHAnsi"/>
          <w:b/>
          <w:color w:themeColor="text2" w:themeTint="99" w:val="548DD4"/>
          <w:sz w:val="16"/>
          <w:szCs w:val="16"/>
        </w:rPr>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w:t>Adopted by the Council on the</w:t>
      </w:r>
    </w:p>
    <w:p>
      <w:pPr>
        <w:pStyle w:val="Normal"/>
        <w:jc w:val="center"/>
        <w:rPr>
          <w:rFonts w:cs="Calibri" w:cstheme="minorHAnsi"/>
          <w:b/>
          <w:color w:themeColor="text2" w:themeTint="99" w:val="548DD4"/>
          <w:sz w:val="48"/>
          <w:szCs w:val="48"/>
        </w:rPr>
      </w:pPr>
      <w:r>
        <w:rPr>
          <w:rFonts w:cs="Calibri" w:cstheme="minorHAnsi"/>
          <w:b/>
          <w:color w:themeColor="text2" w:themeTint="99" w:val="548DD4"/>
          <w:sz w:val="48"/>
          <w:szCs w:val="48"/>
        </w:rPr>
        <w:t>2</w:t>
      </w:r>
      <w:r>
        <w:rPr>
          <w:rFonts w:cs="Calibri" w:cstheme="minorHAnsi"/>
          <w:b/>
          <w:color w:themeColor="text2" w:themeTint="99" w:val="548DD4"/>
          <w:sz w:val="48"/>
          <w:szCs w:val="48"/>
        </w:rPr>
        <w:t>5</w:t>
      </w:r>
      <w:r>
        <w:rPr>
          <w:rFonts w:cs="Calibri" w:cstheme="minorHAnsi"/>
          <w:b/>
          <w:color w:themeColor="text2" w:themeTint="99" w:val="548DD4"/>
          <w:sz w:val="48"/>
          <w:szCs w:val="48"/>
          <w:vertAlign w:val="superscript"/>
        </w:rPr>
        <w:t>th</w:t>
      </w:r>
      <w:r>
        <w:rPr>
          <w:rFonts w:cs="Calibri" w:cstheme="minorHAnsi"/>
          <w:b/>
          <w:color w:themeColor="text2" w:themeTint="99" w:val="548DD4"/>
          <w:sz w:val="48"/>
          <w:szCs w:val="48"/>
        </w:rPr>
        <w:t xml:space="preserve"> March 202</w:t>
      </w:r>
      <w:r>
        <w:rPr>
          <w:rFonts w:cs="Calibri" w:cstheme="minorHAnsi"/>
          <w:b/>
          <w:color w:themeColor="text2" w:themeTint="99" w:val="548DD4"/>
          <w:sz w:val="48"/>
          <w:szCs w:val="48"/>
        </w:rPr>
        <w:t>6</w:t>
      </w:r>
    </w:p>
    <w:p>
      <w:pPr>
        <w:pStyle w:val="Normal"/>
        <w:spacing w:lineRule="auto" w:line="240" w:before="0" w:after="0"/>
        <w:ind w:left="10800"/>
        <w:rPr>
          <w:rFonts w:cs="Calibri" w:cstheme="minorHAnsi"/>
          <w:b/>
          <w:color w:themeColor="text2" w:themeTint="99" w:val="548DD4"/>
          <w:sz w:val="28"/>
          <w:szCs w:val="28"/>
        </w:rPr>
      </w:pPr>
      <w:r>
        <w:rPr>
          <w:rFonts w:cs="Calibri" w:cstheme="minorHAnsi"/>
          <w:b/>
          <w:color w:themeColor="text2" w:themeTint="99" w:val="548DD4"/>
          <w:sz w:val="28"/>
          <w:szCs w:val="28"/>
        </w:rPr>
        <w:t>Signed</w:t>
      </w:r>
    </w:p>
    <w:p>
      <w:pPr>
        <w:pStyle w:val="Normal"/>
        <w:spacing w:lineRule="auto" w:line="240"/>
        <w:jc w:val="right"/>
        <w:rPr>
          <w:rFonts w:cs="Calibri" w:cstheme="minorHAnsi"/>
          <w:b/>
          <w:color w:themeColor="text2" w:themeTint="99" w:val="548DD4"/>
          <w:sz w:val="28"/>
          <w:szCs w:val="28"/>
        </w:rPr>
      </w:pPr>
      <w:r>
        <w:rPr>
          <w:rFonts w:cs="Calibri" w:cstheme="minorHAnsi"/>
          <w:b/>
          <w:color w:themeColor="text2" w:themeTint="99" w:val="548DD4"/>
          <w:sz w:val="28"/>
          <w:szCs w:val="28"/>
        </w:rPr>
      </w:r>
    </w:p>
    <w:p>
      <w:pPr>
        <w:pStyle w:val="Normal"/>
        <w:spacing w:lineRule="auto" w:line="240"/>
        <w:ind w:firstLine="720" w:left="10080"/>
        <w:rPr>
          <w:rFonts w:cs="Calibri" w:cstheme="minorHAnsi"/>
          <w:b/>
          <w:color w:themeColor="text2" w:themeTint="99" w:val="548DD4"/>
          <w:sz w:val="28"/>
          <w:szCs w:val="28"/>
        </w:rPr>
      </w:pPr>
      <w:r>
        <w:rPr>
          <w:rFonts w:cs="Calibri" w:cstheme="minorHAnsi"/>
          <w:b/>
          <w:color w:themeColor="text2" w:themeTint="99" w:val="548DD4"/>
          <w:sz w:val="28"/>
          <w:szCs w:val="28"/>
        </w:rPr>
        <w:t>Chair of the Council</w:t>
      </w:r>
    </w:p>
    <w:p>
      <w:pPr>
        <w:pStyle w:val="Normal"/>
        <w:rPr>
          <w:rFonts w:cs="Calibri" w:cstheme="minorHAnsi"/>
          <w:b/>
        </w:rPr>
      </w:pPr>
      <w:r>
        <w:rPr>
          <w:rFonts w:cs="Calibri" w:cstheme="minorHAnsi"/>
          <w:b/>
        </w:rPr>
      </w:r>
    </w:p>
    <w:p>
      <w:pPr>
        <w:pStyle w:val="Normal"/>
        <w:rPr>
          <w:rFonts w:cs="Calibri" w:cstheme="minorHAnsi"/>
          <w:b/>
        </w:rPr>
      </w:pPr>
      <w:r>
        <w:rPr>
          <w:rFonts w:cs="Calibri" w:cstheme="minorHAnsi"/>
          <w:b/>
        </w:rPr>
      </w:r>
      <w:r>
        <w:br w:type="page"/>
      </w:r>
    </w:p>
    <w:p>
      <w:pPr>
        <w:pStyle w:val="Normal"/>
        <w:spacing w:before="0" w:after="200"/>
        <w:rPr>
          <w:rFonts w:cs="Calibri" w:cstheme="minorHAnsi"/>
          <w:b/>
        </w:rPr>
      </w:pPr>
      <w:r>
        <w:rPr>
          <w:rFonts w:cs="Calibri" w:cstheme="minorHAnsi"/>
          <w:b/>
        </w:rPr>
        <w:t>Risk Assessment</w:t>
      </w:r>
    </w:p>
    <w:p>
      <w:pPr>
        <w:pStyle w:val="Normal"/>
        <w:rPr>
          <w:rFonts w:cs="Calibri" w:cstheme="minorHAnsi"/>
        </w:rPr>
      </w:pPr>
      <w:r>
        <w:rPr>
          <w:rFonts w:cs="Calibri" w:cstheme="minorHAnsi"/>
          <w:b/>
        </w:rPr>
        <w:t xml:space="preserve">The greatest risk facing a local council is not being able to deliver the activity or service expected of it. </w:t>
      </w:r>
      <w:r>
        <w:rPr>
          <w:rFonts w:cs="Calibri" w:cstheme="minorHAnsi"/>
        </w:rPr>
        <w:t>Risk assessment is an examination of working conditions, workplace activities and environment factors that will enable the employer to identify any and all potential risks inherent in the place or practices. Based on a recorded assessment, the employer should then take all practical steps necessary steps to reduce or eliminate the risks, insofar as it is practicably possible, making sure that all employees are aware of the results of the risk assessment.</w:t>
      </w:r>
    </w:p>
    <w:p>
      <w:pPr>
        <w:pStyle w:val="Normal"/>
        <w:rPr>
          <w:rFonts w:cs="Calibri" w:cstheme="minorHAnsi"/>
        </w:rPr>
      </w:pPr>
      <w:r>
        <w:rPr>
          <w:rFonts w:cs="Calibri" w:cstheme="minorHAnsi"/>
        </w:rPr>
        <w:t>This document has been produced to enable the Parish council to assess the risks it faces and satisfy itself that it has taken adequate steps to minimise them. In conducting this exercise, the following plan was followed:</w:t>
      </w:r>
    </w:p>
    <w:p>
      <w:pPr>
        <w:pStyle w:val="ListParagraph"/>
        <w:numPr>
          <w:ilvl w:val="0"/>
          <w:numId w:val="1"/>
        </w:numPr>
        <w:rPr>
          <w:rFonts w:cs="Calibri" w:cstheme="minorHAnsi"/>
        </w:rPr>
      </w:pPr>
      <w:r>
        <w:rPr>
          <w:rFonts w:cs="Calibri" w:cstheme="minorHAnsi"/>
        </w:rPr>
        <w:t>Identify the area to be reviewed.</w:t>
      </w:r>
    </w:p>
    <w:p>
      <w:pPr>
        <w:pStyle w:val="ListParagraph"/>
        <w:numPr>
          <w:ilvl w:val="0"/>
          <w:numId w:val="1"/>
        </w:numPr>
        <w:rPr>
          <w:rFonts w:cs="Calibri" w:cstheme="minorHAnsi"/>
        </w:rPr>
      </w:pPr>
      <w:r>
        <w:rPr>
          <w:rFonts w:cs="Calibri" w:cstheme="minorHAnsi"/>
        </w:rPr>
        <w:t>Identify what the risk may be.</w:t>
      </w:r>
    </w:p>
    <w:p>
      <w:pPr>
        <w:pStyle w:val="ListParagraph"/>
        <w:numPr>
          <w:ilvl w:val="0"/>
          <w:numId w:val="1"/>
        </w:numPr>
        <w:rPr>
          <w:rFonts w:cs="Calibri" w:cstheme="minorHAnsi"/>
        </w:rPr>
      </w:pPr>
      <w:r>
        <w:rPr>
          <w:rFonts w:cs="Calibri" w:cstheme="minorHAnsi"/>
        </w:rPr>
        <w:t>Evaluate the management and control of the risk and record its findings.</w:t>
      </w:r>
    </w:p>
    <w:p>
      <w:pPr>
        <w:pStyle w:val="ListParagraph"/>
        <w:numPr>
          <w:ilvl w:val="0"/>
          <w:numId w:val="1"/>
        </w:numPr>
        <w:rPr>
          <w:rFonts w:cs="Calibri" w:cstheme="minorHAnsi"/>
        </w:rPr>
      </w:pPr>
      <w:r>
        <w:rPr>
          <w:rFonts w:cs="Calibri" w:cstheme="minorHAnsi"/>
        </w:rPr>
        <w:t>Review, assess and revise if required.</w:t>
      </w:r>
    </w:p>
    <w:tbl>
      <w:tblPr>
        <w:tblStyle w:val="TableGrid"/>
        <w:tblW w:w="1417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655"/>
        <w:gridCol w:w="1763"/>
        <w:gridCol w:w="831"/>
        <w:gridCol w:w="4687"/>
        <w:gridCol w:w="3238"/>
      </w:tblGrid>
      <w:tr>
        <w:trPr/>
        <w:tc>
          <w:tcPr>
            <w:tcW w:w="3655"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Subject</w:t>
            </w:r>
          </w:p>
        </w:tc>
        <w:tc>
          <w:tcPr>
            <w:tcW w:w="1763"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Risk(s) Identified</w:t>
            </w:r>
          </w:p>
        </w:tc>
        <w:tc>
          <w:tcPr>
            <w:tcW w:w="831"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H/M/L</w:t>
            </w:r>
          </w:p>
        </w:tc>
        <w:tc>
          <w:tcPr>
            <w:tcW w:w="4687"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Management</w:t>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Control of Risk</w:t>
            </w:r>
          </w:p>
        </w:tc>
        <w:tc>
          <w:tcPr>
            <w:tcW w:w="3238"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Review/Assess/</w:t>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Revise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Business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continuity</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Risk of Council not being able to continue its business due to an unexpected or tragic circumstance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of records through fire, theft, loss of electronic data etc.</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H</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H</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u w:val="single"/>
                <w:lang w:val="en-GB" w:eastAsia="en-US" w:bidi="ar-SA"/>
              </w:rPr>
              <w:t xml:space="preserve">Incapacity of Clerk: </w:t>
            </w:r>
            <w:r>
              <w:rPr>
                <w:rFonts w:eastAsia="Calibri" w:cs="Calibri" w:cstheme="minorHAnsi"/>
                <w:kern w:val="0"/>
                <w:sz w:val="22"/>
                <w:szCs w:val="22"/>
                <w:lang w:val="en-GB" w:eastAsia="en-US" w:bidi="ar-SA"/>
              </w:rPr>
              <w:t>the Council’s internal auditor be designated as the person who will be called upon in the event of an emergency situation to temporarily act as Clerk. Also, the CDALC Executive Office could be consulted to survey their members for a temporary position.</w:t>
            </w:r>
          </w:p>
          <w:p>
            <w:pPr>
              <w:pStyle w:val="Normal"/>
              <w:widowControl/>
              <w:spacing w:lineRule="auto" w:line="240" w:before="0" w:after="0"/>
              <w:jc w:val="left"/>
              <w:rPr>
                <w:rFonts w:cs="Calibri" w:cstheme="minorHAnsi"/>
                <w:u w:val="single"/>
              </w:rPr>
            </w:pPr>
            <w:r>
              <w:rPr>
                <w:rFonts w:eastAsia="Calibri" w:cs="Calibri" w:cstheme="minorHAnsi"/>
                <w:kern w:val="0"/>
                <w:sz w:val="22"/>
                <w:szCs w:val="22"/>
                <w:u w:val="single"/>
                <w:lang w:val="en-GB" w:eastAsia="en-US" w:bidi="ar-SA"/>
              </w:rPr>
              <w:t>Alternatively-Clerk working from home if required-</w:t>
            </w:r>
            <w:r>
              <w:rPr>
                <w:rFonts w:eastAsia="Calibri" w:cs="Calibri" w:cstheme="minorHAnsi"/>
                <w:kern w:val="0"/>
                <w:sz w:val="22"/>
                <w:szCs w:val="22"/>
                <w:lang w:val="en-GB" w:eastAsia="en-US" w:bidi="ar-SA"/>
              </w:rPr>
              <w:t>Clerk will ensure all financial and personal data is stored securely in a locked filing cabinet at home. Only information required for business continuity will be taken home by the Clerk.</w:t>
            </w:r>
          </w:p>
          <w:p>
            <w:pPr>
              <w:pStyle w:val="Normal"/>
              <w:widowControl/>
              <w:spacing w:lineRule="auto" w:line="240" w:before="0" w:after="0"/>
              <w:jc w:val="left"/>
              <w:rPr>
                <w:rFonts w:cs="Calibri" w:cstheme="minorHAnsi"/>
                <w:color w:val="FF0000"/>
              </w:rPr>
            </w:pPr>
            <w:r>
              <w:rPr>
                <w:rFonts w:eastAsia="Calibri" w:cs="Calibri" w:cstheme="minorHAnsi"/>
                <w:kern w:val="0"/>
                <w:sz w:val="22"/>
                <w:szCs w:val="22"/>
                <w:u w:val="single"/>
                <w:lang w:val="en-GB" w:eastAsia="en-US" w:bidi="ar-SA"/>
              </w:rPr>
              <w:t xml:space="preserve">Loss or theft of records: </w:t>
            </w:r>
            <w:r>
              <w:rPr>
                <w:rFonts w:eastAsia="Calibri" w:cs="Calibri" w:cstheme="minorHAnsi"/>
                <w:kern w:val="0"/>
                <w:sz w:val="22"/>
                <w:szCs w:val="22"/>
                <w:lang w:val="en-GB" w:eastAsia="en-US" w:bidi="ar-SA"/>
              </w:rPr>
              <w:t xml:space="preserve"> the Parish Council’s Minute Books are held in the Clerk’s office. Council Minutes from 31.1.07 onwards are also computerised. Old Minutes held will be deposited at the County Record Office. Correspondence, policy documents, reports and Annual Accounts are retained for at least the previous six years and are also held in electronic form.</w:t>
            </w:r>
          </w:p>
          <w:p>
            <w:pPr>
              <w:pStyle w:val="Normal"/>
              <w:widowControl/>
              <w:spacing w:lineRule="auto" w:line="240" w:before="0" w:after="0"/>
              <w:jc w:val="left"/>
              <w:rPr>
                <w:rFonts w:cs="Calibri" w:cstheme="minorHAnsi"/>
                <w:color w:themeColor="text1" w:val="000000"/>
              </w:rPr>
            </w:pPr>
            <w:r>
              <w:rPr>
                <w:rFonts w:eastAsia="Calibri" w:cs="Calibri" w:cstheme="minorHAnsi"/>
                <w:color w:themeColor="text1" w:val="000000"/>
                <w:kern w:val="0"/>
                <w:sz w:val="22"/>
                <w:szCs w:val="22"/>
                <w:lang w:val="en-GB" w:eastAsia="en-US" w:bidi="ar-SA"/>
              </w:rPr>
              <w:t>From April 2021 all files held on computer are on One Drive with subscription service Microsoft 365.</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 xml:space="preserve">GDPR – post 25/05/2018 personal data under new legal requirements. </w:t>
            </w:r>
            <w:r>
              <w:rPr>
                <w:rFonts w:eastAsia="Calibri" w:cs="Calibri" w:cstheme="minorHAnsi"/>
                <w:color w:themeColor="text1" w:val="000000"/>
                <w:kern w:val="0"/>
                <w:sz w:val="22"/>
                <w:szCs w:val="22"/>
                <w:lang w:val="en-GB" w:eastAsia="en-US" w:bidi="ar-SA"/>
              </w:rPr>
              <w:t>Council undertakes regular full</w:t>
            </w:r>
            <w:r>
              <w:rPr>
                <w:rFonts w:eastAsia="Calibri" w:cs="Calibri" w:cstheme="minorHAnsi"/>
                <w:kern w:val="0"/>
                <w:sz w:val="22"/>
                <w:szCs w:val="22"/>
                <w:lang w:val="en-GB" w:eastAsia="en-US" w:bidi="ar-SA"/>
              </w:rPr>
              <w:t xml:space="preserve"> review of data held and apply the code and storage, retrieval, use and destruction of data, publicising same.</w:t>
            </w:r>
          </w:p>
        </w:tc>
        <w:tc>
          <w:tcPr>
            <w:tcW w:w="32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 xml:space="preserve">Designating a person to temporarily act as Clerk in the event of an emergency will eliminate this risk. </w:t>
            </w:r>
            <w:r>
              <w:rPr>
                <w:rFonts w:eastAsia="Calibri" w:cs="Calibri" w:cstheme="minorHAnsi"/>
                <w:color w:themeColor="text1" w:val="000000"/>
                <w:kern w:val="0"/>
                <w:sz w:val="22"/>
                <w:szCs w:val="22"/>
                <w:lang w:val="en-GB" w:eastAsia="en-US" w:bidi="ar-SA"/>
              </w:rPr>
              <w:t>CDALC can arrange a Locum Clerk.</w:t>
            </w:r>
          </w:p>
          <w:p>
            <w:pPr>
              <w:pStyle w:val="Normal"/>
              <w:widowControl/>
              <w:spacing w:lineRule="auto" w:line="240" w:before="0" w:after="0"/>
              <w:jc w:val="left"/>
              <w:rPr>
                <w:rFonts w:cs="Calibri" w:cstheme="minorHAnsi"/>
                <w:color w:val="FF0000"/>
              </w:rPr>
            </w:pPr>
            <w:r>
              <w:rPr>
                <w:rFonts w:eastAsia="Calibri" w:cs="Calibri" w:cstheme="minorHAnsi"/>
                <w:color w:val="FF0000"/>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depositing of historic information with the County Records Office ensures its ongoing security.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color w:themeColor="text2" w:val="1F497D"/>
              </w:rPr>
            </w:pPr>
            <w:r>
              <w:rPr>
                <w:rFonts w:eastAsia="Calibri" w:cs="Calibri" w:cstheme="minorHAnsi"/>
                <w:color w:themeColor="text2" w:val="1F497D"/>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Review of appropriate provision for protection of data for all data and council information will comply with legal requirements and offer greater protection of this as well as business continuation.</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Precept</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Adequacy of Precept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Late receipt of precept payments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To determine the precept sum required, the Council receives a detailed budget report and identifies its income and expenditure requirements. Periodic budget reports are submitted so as to monitor the position. In an emergency situation resulting in a funding shortfall the legislation exists to enable the Council to issue a supplementary precept demand to the County Council.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date(s) by which the County Council is required to make payment of precept is specified by statutory regulation.</w:t>
            </w:r>
          </w:p>
        </w:tc>
        <w:tc>
          <w:tcPr>
            <w:tcW w:w="32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r>
          </w:p>
        </w:tc>
      </w:tr>
    </w:tbl>
    <w:p>
      <w:pPr>
        <w:pStyle w:val="Normal"/>
        <w:rPr>
          <w:rFonts w:cs="Calibri" w:cstheme="minorHAnsi"/>
        </w:rPr>
      </w:pPr>
      <w:r>
        <w:rPr>
          <w:rFonts w:cs="Calibri" w:cstheme="minorHAnsi"/>
        </w:rPr>
      </w:r>
    </w:p>
    <w:tbl>
      <w:tblPr>
        <w:tblStyle w:val="TableGrid"/>
        <w:tblW w:w="1417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655"/>
        <w:gridCol w:w="1763"/>
        <w:gridCol w:w="831"/>
        <w:gridCol w:w="4638"/>
        <w:gridCol w:w="3287"/>
      </w:tblGrid>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Records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Inadequate records and financial irregularities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has Standing Orders and Financial Regulations which set out the requirements. In addition to this, the Council’s Annual Accounts and Financial Statements are subject to both internal and external statutory audit.</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 Financial Regulations to be reviewed every four years.</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Bank and Banking</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Inadequate reconciliation, Banking errors,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Penalty charges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Council’s Financial Regulations set out the requirements for banking arrangements and cheque security. These include requirement for quarterly reconciliations and prevent the pre-signing of cheques. Cheques require two signatures. The Council has three bank accounts in three different banks (Current and Deposit) – to ensure security as advised by the Financial Services i.e. no more than £</w:t>
            </w:r>
            <w:r>
              <w:rPr>
                <w:rFonts w:eastAsia="Calibri" w:cs="Calibri" w:cstheme="minorHAnsi"/>
                <w:kern w:val="0"/>
                <w:sz w:val="22"/>
                <w:szCs w:val="22"/>
                <w:lang w:val="en-GB" w:eastAsia="en-US" w:bidi="ar-SA"/>
              </w:rPr>
              <w:t>120</w:t>
            </w:r>
            <w:r>
              <w:rPr>
                <w:rFonts w:eastAsia="Calibri" w:cs="Calibri" w:cstheme="minorHAnsi"/>
                <w:kern w:val="0"/>
                <w:sz w:val="22"/>
                <w:szCs w:val="22"/>
                <w:lang w:val="en-GB" w:eastAsia="en-US" w:bidi="ar-SA"/>
              </w:rPr>
              <w:t>,000 covered in any 1 bank. Fund transfers can be made between these but not from them into non Council accounts.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Standing Orders, Direct Debits and bank transfers agreed quarterly in advance for regular static payments except for any emergency payment to prevent attracting further charges for late payments.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Cash</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through theft or dishonesty</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N/A</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 xml:space="preserve">No cash balances are retained. </w:t>
            </w:r>
            <w:r>
              <w:rPr>
                <w:rFonts w:eastAsia="Calibri" w:cs="Calibri" w:cstheme="minorHAnsi"/>
                <w:color w:themeColor="text1" w:val="000000"/>
                <w:kern w:val="0"/>
                <w:sz w:val="22"/>
                <w:szCs w:val="22"/>
                <w:lang w:val="en-GB" w:eastAsia="en-US" w:bidi="ar-SA"/>
              </w:rPr>
              <w:t xml:space="preserve">The Clerk is reimbursed any expenses by standing order which is approved by Full Council in Appendix 1. </w:t>
            </w:r>
            <w:r>
              <w:rPr>
                <w:rFonts w:eastAsia="Calibri" w:cs="Calibri" w:cstheme="minorHAnsi"/>
                <w:color w:themeColor="text1" w:val="000000"/>
                <w:kern w:val="0"/>
                <w:sz w:val="22"/>
                <w:szCs w:val="22"/>
                <w:lang w:val="en-GB" w:eastAsia="en-US" w:bidi="ar-SA"/>
              </w:rPr>
              <w:t>As at 1</w:t>
            </w:r>
            <w:r>
              <w:rPr>
                <w:rFonts w:eastAsia="Calibri" w:cs="Calibri" w:cstheme="minorHAnsi"/>
                <w:color w:themeColor="text1" w:val="000000"/>
                <w:kern w:val="0"/>
                <w:sz w:val="22"/>
                <w:szCs w:val="22"/>
                <w:vertAlign w:val="superscript"/>
                <w:lang w:val="en-GB" w:eastAsia="en-US" w:bidi="ar-SA"/>
              </w:rPr>
              <w:t>st</w:t>
            </w:r>
            <w:r>
              <w:rPr>
                <w:rFonts w:eastAsia="Calibri" w:cs="Calibri" w:cstheme="minorHAnsi"/>
                <w:color w:themeColor="text1" w:val="000000"/>
                <w:kern w:val="0"/>
                <w:sz w:val="22"/>
                <w:szCs w:val="22"/>
                <w:lang w:val="en-GB" w:eastAsia="en-US" w:bidi="ar-SA"/>
              </w:rPr>
              <w:t xml:space="preserve"> March 2026 the Clerk has a Parish Council debit card with the COOP. </w:t>
            </w:r>
            <w:r>
              <w:rPr>
                <w:rFonts w:eastAsia="Calibri" w:cs="Calibri" w:cstheme="minorHAnsi"/>
                <w:color w:themeColor="text1" w:val="000000"/>
                <w:kern w:val="0"/>
                <w:sz w:val="22"/>
                <w:szCs w:val="22"/>
                <w:lang w:val="en-GB" w:eastAsia="en-US" w:bidi="ar-SA"/>
              </w:rPr>
              <w:t>Proof of payment made is checked by Chair and nominated councillor.</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are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Reporting and</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Auditing</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Information</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Communication</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Compliance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 mid- year Budget statement will be presented to the Council in October each year and includes the bank reconciliation against income and expenditure to date.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is subject to annual internal and statutory audit and it is legally required to complete and approve Annual Accounts and Financial Statements by the date set by the external auditor each year.</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Reporting arrangements will include a mid-year statement and bank reconciliation.</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Direct costs and expenses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Debts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Goods not supplied but billed</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Incorrect invoicing</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Unpaid invoices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Council’s Financial Regulations set out the requirements.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 list of all payments to be made is detailed on the monthly schedule which is submitted to the council meetings for approval. The approved schedule then forms part of the official Minutes of each meeting.</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Grants and</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Support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payable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Breaches of power to pay</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All requests for grants and financial assistance are determined by the Council on receipt of a report from the Clerk which identifies the statutory power under which payment would be made. This statutory reference is included in the Minute of approval.</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Grants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receivable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Failure to claim</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Non receipt of sum claimed</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Applications and approval are reported to Council and recorded in the Minutes. This provides an audit trail which can be checked and verified against the Receipts and Payments Book, the Bank pay-in book and the bank statement</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Charges –</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Rentals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receivable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Failure to collect sums due.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 xml:space="preserve">Allotment rents are collected on an annual basis </w:t>
            </w:r>
            <w:r>
              <w:rPr>
                <w:rFonts w:eastAsia="Calibri" w:cs="Calibri" w:cstheme="minorHAnsi"/>
                <w:color w:themeColor="text1" w:val="000000"/>
                <w:kern w:val="0"/>
                <w:sz w:val="22"/>
                <w:szCs w:val="22"/>
                <w:lang w:val="en-GB" w:eastAsia="en-US" w:bidi="ar-SA"/>
              </w:rPr>
              <w:t>and when allotment plots are taken on throughout the year</w:t>
            </w:r>
            <w:r>
              <w:rPr>
                <w:rFonts w:eastAsia="Calibri" w:cs="Calibri" w:cstheme="minorHAnsi"/>
                <w:kern w:val="0"/>
                <w:sz w:val="22"/>
                <w:szCs w:val="22"/>
                <w:lang w:val="en-GB" w:eastAsia="en-US" w:bidi="ar-SA"/>
              </w:rPr>
              <w:t xml:space="preserve"> and the sums collected are recorded in the Council’s allotment account and in the budgetary statements. Amounts received are checked by cross referencing the Allotment registers, the Receipt and Payment Book, the actual receipt books and the pay-in book, finally the bank statements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Best value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Accountability</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Failure to obtain best price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Risk of overspend on services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Regulations and Standing Orders specify requirements to obtain competitive tenders/quotations for work or services.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Regulations require budgetary control and reporting to Council.</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Salaries and associated costs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Incorrect or false payments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Failure to comply with HMRC regulations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NEST pension un-paid</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An external accountant is used to calculate salaries and produce pay slips. Financial Regulations specify the requirements. The appointment terms and conditions and any subsequent changes are recorded in the Minutes. Each payment voucher includes reference to the relevant Minute number. No additional payments can be made without Council approval. The Internal Auditor verifies payments when certifying the Annual Return.</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Accountant advises NEST of amounts due and NEST takes directly from current account</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Employees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Statutory &amp;other policies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of key personnel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Fraud by staff</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Illegal actions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Health &amp;Safety</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Contract of Employment and Job Description is agreed for post of Clerk and Litter pickers.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has an approved Disciplinary Policy in place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See “Business continuity”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Regulations and Internal Audit provide protection.</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Fidelity Insurance is in place and regularly reviewed.</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Clerk is provided with regular training, reference books, access to assistance and legal advice required for the role.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pays the annual membership fees for the Society of Local Council Clerks.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Members Allowances and Expenses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Incorrect payments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N/A</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does not pay allowances.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Reimbursement of expenses, e.g. travelling is paid on production of receipts. Each payment requires Council approval.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Travel and subsistence claim forms and policy set out parameters of claims.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Election Costs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Risk of election cost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Insufficient funds to meet election costs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This is beyond the control of the Parish Council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 an election year, the Council takes account of possible election costs when setting its precept.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‘Deposit Account’ has Ear Marked Funds (EMF) for both a by-election and the 4 yearly elections.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Should the cost of a by-election need to be funded part way through a term of council’s tenure (thereby using the EMR), then the Council will provide a sum within the annual “working balance” to meet any future by-election costs during the tenure. During annual budget setting in the subsequent years, the EMF for by-elections may be replenished through transference of surplus funds from the general account.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Estimates are obtained from the Electoral Registration Officer but it is extremely difficult to be sure of eventual cost. If necessary, the Council would need to agree instalment payment arrangements with the County Council.</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No procedure required</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VAT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Failure to reclaim</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Regulations specify requirements. Internal Audit affords protection</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PAYE – Annual Return</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Submit within time limits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Clerk agrees the Employers Annual Return with the External Accountant. The External Accountant completes the Employer’s Annual return online within the prescribed time frame.</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Legal Powers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Illegal activity or payments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All activity and payments within the powers of the Council to be resolved and minuted at full Council meetings, including reference to the power used.</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Minutes/Agendas/Notices/Statutory documents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Accuracy and Legality</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Standing Orders apply. See “Employees-Illegal Actions” above. Minutes and agendas are produced in prescribed method by the Clerk and adhere to legal requirements. Minutes are approved and signed at the next Council meeting. Agendas are displayed according to legal requirement. Copies of Minutes displayed on Council’s notice boards. Copy of Minutes available for public access after approval by Council.</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 adequate</w:t>
            </w:r>
          </w:p>
          <w:p>
            <w:pPr>
              <w:pStyle w:val="Normal"/>
              <w:widowControl/>
              <w:spacing w:lineRule="auto" w:line="240" w:before="0" w:after="0"/>
              <w:jc w:val="left"/>
              <w:rPr>
                <w:rFonts w:cs="Calibri" w:cstheme="minorHAnsi"/>
                <w:b/>
              </w:rPr>
            </w:pPr>
            <w:r>
              <w:rPr>
                <w:rFonts w:eastAsia="Calibri"/>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Business conduct</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Standing Orders prescribe conduct of meetings.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has adopted a Code of Practice for handling complaints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Members Interests</w:t>
            </w:r>
          </w:p>
          <w:p>
            <w:pPr>
              <w:pStyle w:val="Normal"/>
              <w:widowControl/>
              <w:tabs>
                <w:tab w:val="clear" w:pos="720"/>
                <w:tab w:val="left" w:pos="2565" w:leader="none"/>
              </w:tabs>
              <w:spacing w:lineRule="auto" w:line="240" w:before="0" w:after="0"/>
              <w:jc w:val="left"/>
              <w:rPr>
                <w:rFonts w:cs="Calibri" w:cstheme="minorHAnsi"/>
              </w:rPr>
            </w:pPr>
            <w:r>
              <w:rPr>
                <w:rFonts w:eastAsia="Calibri"/>
                <w:kern w:val="0"/>
                <w:sz w:val="22"/>
                <w:szCs w:val="22"/>
                <w:lang w:val="en-GB" w:eastAsia="en-US" w:bidi="ar-SA"/>
              </w:rPr>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Conflict of Interest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Register of Interests</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has adopted a Members Code of Conduct and all Members have received a copy.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Members are required under ‘Declarations of Interest’ at the beginning of the meeting to declare their interest in any item of business and this is recorded in the minutes, or within the item Minute., if declared after Declarations of Interest. Completed “Register of Financial and Other Interests” forms are to be completed within 28 days of taking up office and amended within 28 days of any changes. These are submitted to the Monitoring Officer and are available for public inspection on the County Council’s and Parish Council website. Members are reminded of the need for regular review and kept up-to date of with requirements and changes in the Code.</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FINANCIAL AND MANAGEMENT</w:t>
            </w:r>
          </w:p>
        </w:tc>
        <w:tc>
          <w:tcPr>
            <w:tcW w:w="1763"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831"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3287"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r>
      <w:tr>
        <w:trPr/>
        <w:tc>
          <w:tcPr>
            <w:tcW w:w="3655"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Subject</w:t>
            </w:r>
          </w:p>
        </w:tc>
        <w:tc>
          <w:tcPr>
            <w:tcW w:w="1763"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Risk (s) Identified</w:t>
            </w:r>
          </w:p>
        </w:tc>
        <w:tc>
          <w:tcPr>
            <w:tcW w:w="831"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H/M/L</w:t>
            </w:r>
          </w:p>
        </w:tc>
        <w:tc>
          <w:tcPr>
            <w:tcW w:w="4638"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Management/Control of risk</w:t>
            </w:r>
          </w:p>
        </w:tc>
        <w:tc>
          <w:tcPr>
            <w:tcW w:w="3287"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Review/Assess/Revise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Insurance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Adequacy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Cost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Compliance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Fidelity Guarantee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Financial Regulations specify requirements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An annual review is carried out of all the Council’s insurance covers by the Internal Auditor.</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Particular care is paid to the adequacy of fidelity guarantee cover.</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Alternative premium quotations are periodically obtained on a like for like basis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Data Protection</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Policy Provision</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is registered with the ICO</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Clerk is responsible for secure keeping of data.</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Under GDPR the council is required to ensure it complies with GDPR –</w:t>
            </w:r>
            <w:r>
              <w:rPr>
                <w:rFonts w:eastAsia="Calibri" w:cs="Calibri" w:cstheme="minorHAnsi"/>
                <w:color w:themeColor="text1" w:val="000000"/>
                <w:kern w:val="0"/>
                <w:sz w:val="22"/>
                <w:szCs w:val="22"/>
                <w:lang w:val="en-GB" w:eastAsia="en-US" w:bidi="ar-SA"/>
              </w:rPr>
              <w:t xml:space="preserve"> Regular</w:t>
            </w:r>
            <w:r>
              <w:rPr>
                <w:rFonts w:eastAsia="Calibri" w:cs="Calibri" w:cstheme="minorHAnsi"/>
                <w:color w:themeColor="accent3" w:val="9BBB59"/>
                <w:kern w:val="0"/>
                <w:sz w:val="22"/>
                <w:szCs w:val="22"/>
                <w:lang w:val="en-GB" w:eastAsia="en-US" w:bidi="ar-SA"/>
              </w:rPr>
              <w:t xml:space="preserve"> </w:t>
            </w:r>
            <w:r>
              <w:rPr>
                <w:rFonts w:eastAsia="Calibri" w:cs="Calibri" w:cstheme="minorHAnsi"/>
                <w:color w:themeColor="text1" w:val="000000"/>
                <w:kern w:val="0"/>
                <w:sz w:val="22"/>
                <w:szCs w:val="22"/>
                <w:lang w:val="en-GB" w:eastAsia="en-US" w:bidi="ar-SA"/>
              </w:rPr>
              <w:t>Review of Data Protection and provision of GDPR Policies is carried out by Clerk.</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Freedom of Information</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Policy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Provision</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has adopted the Parish Model Publication Scheme and is registered with the Information Commissioner</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PHYSICAL EQUIPMENT OR AREAS</w:t>
            </w:r>
          </w:p>
        </w:tc>
        <w:tc>
          <w:tcPr>
            <w:tcW w:w="1763"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831"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3287" w:type="dxa"/>
            <w:tcBorders/>
            <w:shd w:color="auto" w:fill="F2F2F2" w:themeFill="background1" w:themeFillShade="f2"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r>
      <w:tr>
        <w:trPr/>
        <w:tc>
          <w:tcPr>
            <w:tcW w:w="3655"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Subject</w:t>
            </w:r>
          </w:p>
        </w:tc>
        <w:tc>
          <w:tcPr>
            <w:tcW w:w="1763"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Risk(s) identified</w:t>
            </w:r>
          </w:p>
        </w:tc>
        <w:tc>
          <w:tcPr>
            <w:tcW w:w="831"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H/M/L</w:t>
            </w:r>
          </w:p>
        </w:tc>
        <w:tc>
          <w:tcPr>
            <w:tcW w:w="4638"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Management/Control of Risk</w:t>
            </w:r>
          </w:p>
        </w:tc>
        <w:tc>
          <w:tcPr>
            <w:tcW w:w="3287" w:type="dxa"/>
            <w:tcBorders/>
            <w:shd w:color="auto" w:fill="F2F2F2" w:themeFill="background1" w:themeFillShade="f2" w:val="clear"/>
          </w:tcPr>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t>Review/Assess/ Revise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Assets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or damage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has control of six allotment sites.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Annual reviews are required as per the Allotments Maintenance Budget allocation procedure established by Minute 134 of 22.1.14</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Grounds Maintenance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or damage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leases two portions of land from the County Council. Owns one part of land at Thornton Park which is currently serviced by Durham County Council.</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land is regularly maintained by a contractor</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Notice Boards</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or damage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owns 12 notice boards which are covered by insurance</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Street Furniture</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or damage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Council are responsible for a plinth located outside the Lavender Centre</w:t>
            </w:r>
            <w:r>
              <w:rPr>
                <w:rFonts w:eastAsia="Calibri" w:cs="Calibri" w:cstheme="minorHAnsi"/>
                <w:color w:themeColor="text1" w:val="000000"/>
                <w:kern w:val="0"/>
                <w:sz w:val="22"/>
                <w:szCs w:val="22"/>
                <w:lang w:val="en-GB" w:eastAsia="en-US" w:bidi="ar-SA"/>
              </w:rPr>
              <w:t>, 3 pieces of artwork in Newfield and Pelton Lane Ends, a War Memorial, Play equipment at Thornton Pocket Park, Memorial Benches next to War Memorial and a Field of Hope sign in Perkinsville. Seating at Thornton Pocket Park; Brackenbeds Lane; Seat next to 1 Oak Terrace, Pelton; Opposite car wash, Front Street, Pelton; seat at North View, Newfield. They are covered by the Council’s insurance policy.</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procedures adequate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Meetings location</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Adequacy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Health and Safety</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Non availability</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meeting</w:t>
            </w:r>
            <w:r>
              <w:rPr>
                <w:rFonts w:eastAsia="Calibri" w:cs="Calibri" w:cstheme="minorHAnsi"/>
                <w:kern w:val="0"/>
                <w:sz w:val="22"/>
                <w:szCs w:val="22"/>
                <w:lang w:val="en-GB" w:eastAsia="en-US" w:bidi="ar-SA"/>
              </w:rPr>
              <w:t>s</w:t>
            </w:r>
            <w:r>
              <w:rPr>
                <w:rFonts w:eastAsia="Calibri" w:cs="Calibri" w:cstheme="minorHAnsi"/>
                <w:kern w:val="0"/>
                <w:sz w:val="22"/>
                <w:szCs w:val="22"/>
                <w:lang w:val="en-GB" w:eastAsia="en-US" w:bidi="ar-SA"/>
              </w:rPr>
              <w:t xml:space="preserve"> are held in Pelton Community Centre.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premises and facilities are adequate, fully maintained and insured by the community associations.</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 premises are not owned by the Parish Council but it is unlikely that availability would end without adequate notice. In such case, use of other local community centres would be arranged.</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Existing arrangements adequate.</w:t>
            </w:r>
          </w:p>
          <w:p>
            <w:pPr>
              <w:pStyle w:val="Normal"/>
              <w:widowControl/>
              <w:spacing w:lineRule="auto" w:line="240" w:before="0" w:after="0"/>
              <w:jc w:val="left"/>
              <w:rPr>
                <w:rFonts w:cs="Calibri" w:cstheme="minorHAnsi"/>
                <w:b/>
              </w:rPr>
            </w:pPr>
            <w:r>
              <w:rPr>
                <w:rFonts w:eastAsia="Calibri" w:cs="Calibri" w:cstheme="minorHAnsi"/>
                <w:b/>
                <w:kern w:val="0"/>
                <w:sz w:val="22"/>
                <w:szCs w:val="22"/>
                <w:lang w:val="en-GB" w:eastAsia="en-US" w:bidi="ar-SA"/>
              </w:rPr>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records - paper</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through :-theft,</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fire or</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damage</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color w:themeColor="text1" w:val="000000"/>
                <w:kern w:val="0"/>
                <w:sz w:val="22"/>
                <w:szCs w:val="22"/>
                <w:lang w:val="en-GB" w:eastAsia="en-US" w:bidi="ar-SA"/>
              </w:rPr>
              <w:t>Council records are retained in the Parish Office in Pelton Community Centre.</w:t>
            </w:r>
            <w:r>
              <w:rPr>
                <w:rFonts w:eastAsia="Calibri" w:cs="Calibri" w:cstheme="minorHAnsi"/>
                <w:kern w:val="0"/>
                <w:sz w:val="22"/>
                <w:szCs w:val="22"/>
                <w:lang w:val="en-GB" w:eastAsia="en-US" w:bidi="ar-SA"/>
              </w:rPr>
              <w:t xml:space="preserve"> Records include In the Office - historical correspondence, minute books, records relating to personnel, insurance, salaries etc. Recent materials are in wooden filing shelves or metal filing cupboards in the clerk’s office.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In safe or strong box in office - copies, leases and deeds for land or property, all Legal documents held in safe or a fire proof strong box in the Parish office. During the</w:t>
            </w:r>
            <w:r>
              <w:rPr>
                <w:rFonts w:eastAsia="Calibri" w:cs="Calibri" w:cstheme="minorHAnsi"/>
                <w:color w:val="FF0000"/>
                <w:kern w:val="0"/>
                <w:sz w:val="22"/>
                <w:szCs w:val="22"/>
                <w:lang w:val="en-GB" w:eastAsia="en-US" w:bidi="ar-SA"/>
              </w:rPr>
              <w:t xml:space="preserve"> </w:t>
            </w:r>
            <w:r>
              <w:rPr>
                <w:rFonts w:eastAsia="Calibri" w:cs="Calibri" w:cstheme="minorHAnsi"/>
                <w:kern w:val="0"/>
                <w:sz w:val="22"/>
                <w:szCs w:val="22"/>
                <w:lang w:val="en-GB" w:eastAsia="en-US" w:bidi="ar-SA"/>
              </w:rPr>
              <w:t>agreement of flexible working the Clerk has been working from home and some documents have been transferred temporarily to her home address.</w:t>
            </w:r>
          </w:p>
        </w:tc>
        <w:tc>
          <w:tcPr>
            <w:tcW w:w="3287"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Provision is adequate. Damage, apart from fire, is unlikely. Original copies should perhaps be kept off site (transferred to the DCC archives) with copies of same kept on site.</w:t>
            </w:r>
          </w:p>
        </w:tc>
      </w:tr>
      <w:tr>
        <w:trPr/>
        <w:tc>
          <w:tcPr>
            <w:tcW w:w="3655" w:type="dxa"/>
            <w:tcBorders/>
            <w:shd w:color="auto" w:fill="DBE5F1" w:themeFill="accent1" w:themeFillTint="33" w:val="clear"/>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Council records-electronic</w:t>
            </w:r>
          </w:p>
        </w:tc>
        <w:tc>
          <w:tcPr>
            <w:tcW w:w="1763"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Loss through:-</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Theft, Fire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Damage</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Corruption of computer</w:t>
            </w:r>
          </w:p>
        </w:tc>
        <w:tc>
          <w:tcPr>
            <w:tcW w:w="831"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 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L</w:t>
            </w:r>
          </w:p>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M</w:t>
            </w:r>
          </w:p>
        </w:tc>
        <w:tc>
          <w:tcPr>
            <w:tcW w:w="4638" w:type="dxa"/>
            <w:tcBorders/>
          </w:tcPr>
          <w:p>
            <w:pPr>
              <w:pStyle w:val="Normal"/>
              <w:widowControl/>
              <w:spacing w:lineRule="auto" w:line="240" w:before="0" w:after="0"/>
              <w:jc w:val="left"/>
              <w:rPr>
                <w:rFonts w:cs="Calibri" w:cstheme="minorHAnsi"/>
              </w:rPr>
            </w:pPr>
            <w:r>
              <w:rPr>
                <w:rFonts w:eastAsia="Calibri" w:cs="Calibri" w:cstheme="minorHAnsi"/>
                <w:kern w:val="0"/>
                <w:sz w:val="22"/>
                <w:szCs w:val="22"/>
                <w:lang w:val="en-GB" w:eastAsia="en-US" w:bidi="ar-SA"/>
              </w:rPr>
              <w:t xml:space="preserve">Such records are now stored on the one drive cloud as part of the Microsoft 365 subscription. </w:t>
            </w:r>
            <w:r>
              <w:rPr>
                <w:rFonts w:eastAsia="Calibri" w:cs="Calibri" w:cstheme="minorHAnsi"/>
                <w:color w:themeColor="text1" w:val="000000"/>
                <w:kern w:val="0"/>
                <w:sz w:val="22"/>
                <w:szCs w:val="22"/>
                <w:lang w:val="en-GB" w:eastAsia="en-US" w:bidi="ar-SA"/>
              </w:rPr>
              <w:t>Clerk has completed transfer of documents from hard drive to cloud storage.</w:t>
            </w:r>
          </w:p>
        </w:tc>
        <w:tc>
          <w:tcPr>
            <w:tcW w:w="3287" w:type="dxa"/>
            <w:tcBorders/>
          </w:tcPr>
          <w:p>
            <w:pPr>
              <w:pStyle w:val="Normal"/>
              <w:widowControl/>
              <w:spacing w:lineRule="auto" w:line="240" w:before="0" w:after="0"/>
              <w:jc w:val="left"/>
              <w:rPr>
                <w:rFonts w:cs="Calibri" w:cstheme="minorHAnsi"/>
                <w:color w:themeColor="text1" w:val="000000"/>
              </w:rPr>
            </w:pPr>
            <w:r>
              <w:rPr>
                <w:rFonts w:eastAsia="Calibri" w:cs="Calibri" w:cstheme="minorHAnsi"/>
                <w:color w:themeColor="text1" w:val="000000"/>
                <w:kern w:val="0"/>
                <w:sz w:val="22"/>
                <w:szCs w:val="22"/>
                <w:lang w:val="en-GB" w:eastAsia="en-US" w:bidi="ar-SA"/>
              </w:rPr>
              <w:t>Password protected and will allow for business continuity in the event of the hardware breaking and/or the Clerk being unable to work through sudden illness or death.</w:t>
            </w:r>
          </w:p>
        </w:tc>
      </w:tr>
    </w:tbl>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pPr>
      <w:r>
        <w:rPr>
          <w:rFonts w:cs="Times New Roman" w:ascii="Times New Roman" w:hAnsi="Times New Roman"/>
          <w:b/>
          <w:sz w:val="24"/>
          <w:szCs w:val="24"/>
        </w:rPr>
        <w:t xml:space="preserve">Signed </w:t>
      </w:r>
      <w:r>
        <w:rPr/>
        <w:t xml:space="preserve">   </w:t>
      </w:r>
      <w:r>
        <w:rPr>
          <w:rFonts w:cs="Times New Roman" w:ascii="Times New Roman" w:hAnsi="Times New Roman"/>
          <w:b/>
          <w:sz w:val="24"/>
          <w:szCs w:val="24"/>
        </w:rPr>
        <w:t xml:space="preserve">Chair </w:t>
        <w:tab/>
        <w:tab/>
        <w:t>Date 2</w:t>
      </w:r>
      <w:r>
        <w:rPr>
          <w:rFonts w:cs="Times New Roman" w:ascii="Times New Roman" w:hAnsi="Times New Roman"/>
          <w:b/>
          <w:sz w:val="24"/>
          <w:szCs w:val="24"/>
        </w:rPr>
        <w:t>5</w:t>
      </w:r>
      <w:r>
        <w:rPr>
          <w:rFonts w:cs="Times New Roman" w:ascii="Times New Roman" w:hAnsi="Times New Roman"/>
          <w:b/>
          <w:sz w:val="24"/>
          <w:szCs w:val="24"/>
        </w:rPr>
        <w:t>.3.2</w:t>
      </w:r>
      <w:r>
        <w:rPr>
          <w:rFonts w:cs="Times New Roman" w:ascii="Times New Roman" w:hAnsi="Times New Roman"/>
          <w:b/>
          <w:sz w:val="24"/>
          <w:szCs w:val="24"/>
        </w:rPr>
        <w:t>6</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Signed   Clerk    </w:t>
        <w:tab/>
        <w:t xml:space="preserve">            Date 2</w:t>
      </w:r>
      <w:r>
        <w:rPr>
          <w:rFonts w:cs="Times New Roman" w:ascii="Times New Roman" w:hAnsi="Times New Roman"/>
          <w:b/>
          <w:sz w:val="24"/>
          <w:szCs w:val="24"/>
        </w:rPr>
        <w:t>5</w:t>
      </w:r>
      <w:r>
        <w:rPr>
          <w:rFonts w:cs="Times New Roman" w:ascii="Times New Roman" w:hAnsi="Times New Roman"/>
          <w:b/>
          <w:sz w:val="24"/>
          <w:szCs w:val="24"/>
        </w:rPr>
        <w:t>.3.2</w:t>
      </w:r>
      <w:r>
        <w:rPr>
          <w:rFonts w:cs="Times New Roman" w:ascii="Times New Roman" w:hAnsi="Times New Roman"/>
          <w:b/>
          <w:sz w:val="24"/>
          <w:szCs w:val="24"/>
        </w:rPr>
        <w:t>6</w:t>
      </w:r>
    </w:p>
    <w:p>
      <w:pPr>
        <w:pStyle w:val="Normal"/>
        <w:rPr/>
      </w:pPr>
      <w:r>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Signed ...............................................(Internal Auditor) </w:t>
        <w:tab/>
        <w:t>Date..................................</w:t>
      </w:r>
    </w:p>
    <w:tbl>
      <w:tblPr>
        <w:tblStyle w:val="TableGrid"/>
        <w:tblW w:w="1038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75"/>
        <w:gridCol w:w="1561"/>
        <w:gridCol w:w="2583"/>
        <w:gridCol w:w="1560"/>
        <w:gridCol w:w="2301"/>
      </w:tblGrid>
      <w:tr>
        <w:trPr/>
        <w:tc>
          <w:tcPr>
            <w:tcW w:w="2375" w:type="dxa"/>
            <w:tcBorders/>
          </w:tcPr>
          <w:p>
            <w:pPr>
              <w:pStyle w:val="Normal"/>
              <w:widowControl/>
              <w:spacing w:lineRule="auto" w:line="240" w:before="0" w:after="0"/>
              <w:jc w:val="center"/>
              <w:rPr>
                <w:b/>
              </w:rPr>
            </w:pPr>
            <w:r>
              <w:rPr>
                <w:rFonts w:eastAsia="Calibri" w:cs=""/>
                <w:b/>
                <w:kern w:val="0"/>
                <w:sz w:val="22"/>
                <w:szCs w:val="22"/>
                <w:lang w:val="en-GB" w:eastAsia="en-US" w:bidi="ar-SA"/>
              </w:rPr>
              <w:t>Author</w:t>
            </w:r>
          </w:p>
        </w:tc>
        <w:tc>
          <w:tcPr>
            <w:tcW w:w="1561" w:type="dxa"/>
            <w:tcBorders/>
          </w:tcPr>
          <w:p>
            <w:pPr>
              <w:pStyle w:val="Normal"/>
              <w:widowControl/>
              <w:spacing w:lineRule="auto" w:line="240" w:before="0" w:after="0"/>
              <w:jc w:val="center"/>
              <w:rPr>
                <w:b/>
              </w:rPr>
            </w:pPr>
            <w:r>
              <w:rPr>
                <w:rFonts w:eastAsia="Calibri" w:cs=""/>
                <w:b/>
                <w:kern w:val="0"/>
                <w:sz w:val="22"/>
                <w:szCs w:val="22"/>
                <w:lang w:val="en-GB" w:eastAsia="en-US" w:bidi="ar-SA"/>
              </w:rPr>
              <w:t>Date</w:t>
            </w:r>
          </w:p>
        </w:tc>
        <w:tc>
          <w:tcPr>
            <w:tcW w:w="2583" w:type="dxa"/>
            <w:tcBorders/>
          </w:tcPr>
          <w:p>
            <w:pPr>
              <w:pStyle w:val="Normal"/>
              <w:widowControl/>
              <w:spacing w:lineRule="auto" w:line="240" w:before="0" w:after="0"/>
              <w:jc w:val="center"/>
              <w:rPr>
                <w:b/>
              </w:rPr>
            </w:pPr>
            <w:r>
              <w:rPr>
                <w:rFonts w:eastAsia="Calibri" w:cs=""/>
                <w:b/>
                <w:kern w:val="0"/>
                <w:sz w:val="22"/>
                <w:szCs w:val="22"/>
                <w:lang w:val="en-GB" w:eastAsia="en-US" w:bidi="ar-SA"/>
              </w:rPr>
              <w:t>Adopted</w:t>
            </w:r>
          </w:p>
        </w:tc>
        <w:tc>
          <w:tcPr>
            <w:tcW w:w="1560" w:type="dxa"/>
            <w:tcBorders/>
          </w:tcPr>
          <w:p>
            <w:pPr>
              <w:pStyle w:val="Normal"/>
              <w:widowControl/>
              <w:spacing w:lineRule="auto" w:line="240" w:before="0" w:after="0"/>
              <w:jc w:val="center"/>
              <w:rPr>
                <w:b/>
              </w:rPr>
            </w:pPr>
            <w:r>
              <w:rPr>
                <w:rFonts w:eastAsia="Calibri" w:cs=""/>
                <w:b/>
                <w:kern w:val="0"/>
                <w:sz w:val="22"/>
                <w:szCs w:val="22"/>
                <w:lang w:val="en-GB" w:eastAsia="en-US" w:bidi="ar-SA"/>
              </w:rPr>
              <w:t>Meeting</w:t>
            </w:r>
          </w:p>
        </w:tc>
        <w:tc>
          <w:tcPr>
            <w:tcW w:w="2301" w:type="dxa"/>
            <w:tcBorders/>
          </w:tcPr>
          <w:p>
            <w:pPr>
              <w:pStyle w:val="Normal"/>
              <w:widowControl/>
              <w:spacing w:lineRule="auto" w:line="240" w:before="0" w:after="0"/>
              <w:jc w:val="center"/>
              <w:rPr>
                <w:b/>
              </w:rPr>
            </w:pPr>
            <w:r>
              <w:rPr>
                <w:rFonts w:eastAsia="Calibri" w:cs=""/>
                <w:b/>
                <w:kern w:val="0"/>
                <w:sz w:val="22"/>
                <w:szCs w:val="22"/>
                <w:lang w:val="en-GB" w:eastAsia="en-US" w:bidi="ar-SA"/>
              </w:rPr>
              <w:t>Review Annually By</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25.3.19</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27.3.19</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2020</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25.3.20 – part of the Emergency Planning, ratified on 20.5.20</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20.5.20</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2021</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24.3.21</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24.3.21</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2022</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23.3.22</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23.3.22</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2023</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22.3.23</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22.3.23</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2024</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27.3.24</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27.3.24</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2025</w:t>
            </w:r>
          </w:p>
        </w:tc>
      </w:tr>
      <w:tr>
        <w:trPr/>
        <w:tc>
          <w:tcPr>
            <w:tcW w:w="2375"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26.3.25</w:t>
            </w:r>
          </w:p>
        </w:tc>
        <w:tc>
          <w:tcPr>
            <w:tcW w:w="2583" w:type="dxa"/>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26.3.25</w:t>
            </w:r>
          </w:p>
        </w:tc>
        <w:tc>
          <w:tcPr>
            <w:tcW w:w="1560"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w:t>
            </w:r>
            <w:r>
              <w:rPr>
                <w:rFonts w:eastAsia="Calibri" w:cs=""/>
                <w:kern w:val="0"/>
                <w:sz w:val="22"/>
                <w:szCs w:val="22"/>
                <w:lang w:val="en-GB" w:eastAsia="en-US" w:bidi="ar-SA"/>
              </w:rPr>
              <w:t>6</w:t>
            </w:r>
          </w:p>
        </w:tc>
      </w:tr>
      <w:tr>
        <w:trPr/>
        <w:tc>
          <w:tcPr>
            <w:tcW w:w="2375" w:type="dxa"/>
            <w:tcBorders>
              <w:top w:val="nil"/>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J. Dickinson, Clerk</w:t>
            </w:r>
          </w:p>
        </w:tc>
        <w:tc>
          <w:tcPr>
            <w:tcW w:w="1561" w:type="dxa"/>
            <w:tcBorders>
              <w:top w:val="nil"/>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25.3.26</w:t>
            </w:r>
          </w:p>
        </w:tc>
        <w:tc>
          <w:tcPr>
            <w:tcW w:w="2583" w:type="dxa"/>
            <w:tcBorders>
              <w:top w:val="nil"/>
            </w:tcBorders>
          </w:tcPr>
          <w:p>
            <w:pPr>
              <w:pStyle w:val="Normal"/>
              <w:widowControl/>
              <w:spacing w:lineRule="auto" w:line="240" w:before="0" w:after="0"/>
              <w:jc w:val="center"/>
              <w:rPr>
                <w:rFonts w:ascii="Calibri" w:hAnsi="Calibri" w:eastAsia="Calibri" w:cs=""/>
                <w:kern w:val="0"/>
                <w:sz w:val="22"/>
                <w:szCs w:val="22"/>
                <w:lang w:val="en-GB" w:eastAsia="en-US" w:bidi="ar-SA"/>
              </w:rPr>
            </w:pPr>
            <w:r>
              <w:rPr>
                <w:rFonts w:eastAsia="Calibri" w:cs=""/>
                <w:kern w:val="0"/>
                <w:sz w:val="22"/>
                <w:szCs w:val="22"/>
                <w:lang w:val="en-GB" w:eastAsia="en-US" w:bidi="ar-SA"/>
              </w:rPr>
              <w:t>25.3.26</w:t>
            </w:r>
          </w:p>
        </w:tc>
        <w:tc>
          <w:tcPr>
            <w:tcW w:w="1560" w:type="dxa"/>
            <w:tcBorders>
              <w:top w:val="nil"/>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Full Council</w:t>
            </w:r>
          </w:p>
        </w:tc>
        <w:tc>
          <w:tcPr>
            <w:tcW w:w="2301" w:type="dxa"/>
            <w:tcBorders>
              <w:top w:val="nil"/>
            </w:tcBorders>
          </w:tcPr>
          <w:p>
            <w:pPr>
              <w:pStyle w:val="Normal"/>
              <w:widowControl/>
              <w:spacing w:lineRule="auto" w:line="240" w:before="0" w:after="0"/>
              <w:jc w:val="left"/>
              <w:rPr>
                <w:rFonts w:ascii="Calibri" w:hAnsi="Calibri" w:eastAsia="Calibri" w:cs=""/>
                <w:kern w:val="0"/>
                <w:sz w:val="22"/>
                <w:szCs w:val="22"/>
                <w:lang w:val="en-GB" w:eastAsia="en-US" w:bidi="ar-SA"/>
              </w:rPr>
            </w:pPr>
            <w:r>
              <w:rPr>
                <w:rFonts w:eastAsia="Calibri" w:cs=""/>
                <w:kern w:val="0"/>
                <w:sz w:val="22"/>
                <w:szCs w:val="22"/>
                <w:lang w:val="en-GB" w:eastAsia="en-US" w:bidi="ar-SA"/>
              </w:rPr>
              <w:t>End March 2027</w:t>
            </w:r>
          </w:p>
        </w:tc>
      </w:tr>
    </w:tbl>
    <w:p>
      <w:pPr>
        <w:pStyle w:val="Normal"/>
        <w:widowControl/>
        <w:bidi w:val="0"/>
        <w:spacing w:lineRule="auto" w:line="276" w:before="0" w:after="200"/>
        <w:jc w:val="left"/>
        <w:rPr/>
      </w:pPr>
      <w:r>
        <w:rPr/>
      </w:r>
    </w:p>
    <w:sectPr>
      <w:headerReference w:type="even" r:id="rId2"/>
      <w:headerReference w:type="default" r:id="rId3"/>
      <w:headerReference w:type="first" r:id="rId4"/>
      <w:footerReference w:type="even" r:id="rId5"/>
      <w:footerReference w:type="default" r:id="rId6"/>
      <w:footerReference w:type="first" r:id="rId7"/>
      <w:type w:val="nextPage"/>
      <w:pgSz w:orient="landscape" w:w="16838" w:h="11906"/>
      <w:pgMar w:left="1440" w:right="1440" w:gutter="0" w:header="708" w:top="1135"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swiss"/>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01580997"/>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001580997"/>
      <w:docPartObj>
        <w:docPartGallery w:val="Page Numbers (Bottom of Page)"/>
        <w:docPartUnique w:val="true"/>
      </w:docPartObj>
    </w:sdtPr>
    <w:sdtContent>
      <w:p>
        <w:pPr>
          <w:pStyle w:val="Footer"/>
          <w:jc w:val="right"/>
          <w:rPr/>
        </w:pPr>
        <w:r>
          <w:rPr/>
          <w:fldChar w:fldCharType="begin"/>
        </w:r>
        <w:r>
          <w:rPr/>
          <w:instrText xml:space="preserve"> PAGE </w:instrText>
        </w:r>
        <w:r>
          <w:rPr/>
          <w:fldChar w:fldCharType="separate"/>
        </w:r>
        <w:r>
          <w:rPr/>
          <w:t>11</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Pelton Parish Council- Risk Assessment</w:t>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t>Pelton Parish Council- Risk Assessment</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0a11"/>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501287"/>
    <w:rPr/>
  </w:style>
  <w:style w:type="character" w:styleId="FooterChar" w:customStyle="1">
    <w:name w:val="Footer Char"/>
    <w:basedOn w:val="DefaultParagraphFont"/>
    <w:link w:val="Footer"/>
    <w:uiPriority w:val="99"/>
    <w:qFormat/>
    <w:rsid w:val="00501287"/>
    <w:rPr/>
  </w:style>
  <w:style w:type="character" w:styleId="BalloonTextChar" w:customStyle="1">
    <w:name w:val="Balloon Text Char"/>
    <w:basedOn w:val="DefaultParagraphFont"/>
    <w:link w:val="BalloonText"/>
    <w:uiPriority w:val="99"/>
    <w:semiHidden/>
    <w:qFormat/>
    <w:rsid w:val="00347be8"/>
    <w:rPr>
      <w:rFonts w:ascii="Segoe UI" w:hAnsi="Segoe UI" w:cs="Segoe UI"/>
      <w:sz w:val="18"/>
      <w:szCs w:val="18"/>
    </w:rPr>
  </w:style>
  <w:style w:type="character" w:styleId="NoSpacingChar" w:customStyle="1">
    <w:name w:val="No Spacing Char"/>
    <w:basedOn w:val="DefaultParagraphFont"/>
    <w:link w:val="NoSpacing"/>
    <w:uiPriority w:val="1"/>
    <w:qFormat/>
    <w:rsid w:val="0045444e"/>
    <w:rPr>
      <w:lang w:val="en-US" w:eastAsia="en-US"/>
    </w:rPr>
  </w:style>
  <w:style w:type="character" w:styleId="CommentReference">
    <w:name w:val="annotation reference"/>
    <w:basedOn w:val="DefaultParagraphFont"/>
    <w:uiPriority w:val="99"/>
    <w:semiHidden/>
    <w:unhideWhenUsed/>
    <w:qFormat/>
    <w:rsid w:val="00647146"/>
    <w:rPr>
      <w:sz w:val="16"/>
      <w:szCs w:val="16"/>
    </w:rPr>
  </w:style>
  <w:style w:type="character" w:styleId="CommentTextChar" w:customStyle="1">
    <w:name w:val="Comment Text Char"/>
    <w:basedOn w:val="DefaultParagraphFont"/>
    <w:link w:val="CommentText"/>
    <w:uiPriority w:val="99"/>
    <w:qFormat/>
    <w:rsid w:val="00647146"/>
    <w:rPr>
      <w:sz w:val="20"/>
      <w:szCs w:val="20"/>
    </w:rPr>
  </w:style>
  <w:style w:type="character" w:styleId="CommentSubjectChar" w:customStyle="1">
    <w:name w:val="Comment Subject Char"/>
    <w:basedOn w:val="CommentTextChar"/>
    <w:link w:val="annotationsubject"/>
    <w:uiPriority w:val="99"/>
    <w:semiHidden/>
    <w:qFormat/>
    <w:rsid w:val="00647146"/>
    <w:rPr>
      <w:b/>
      <w:bCs/>
      <w:sz w:val="20"/>
      <w:szCs w:val="20"/>
    </w:rPr>
  </w:style>
  <w:style w:type="character" w:styleId="Hyperlink">
    <w:name w:val="Hyperlink"/>
    <w:basedOn w:val="DefaultParagraphFont"/>
    <w:uiPriority w:val="99"/>
    <w:semiHidden/>
    <w:unhideWhenUsed/>
    <w:rsid w:val="001564a7"/>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08242f"/>
    <w:pPr>
      <w:spacing w:before="0" w:after="200"/>
      <w:ind w:left="720"/>
      <w:contextualSpacing/>
    </w:pPr>
    <w:rPr>
      <w:rFonts w:eastAsia="Calibri" w:eastAsiaTheme="minorHAnsi"/>
      <w:lang w:eastAsia="en-US"/>
    </w:rPr>
  </w:style>
  <w:style w:type="paragraph" w:styleId="HeaderandFooter">
    <w:name w:val="Header and Footer"/>
    <w:basedOn w:val="Normal"/>
    <w:qFormat/>
    <w:pPr/>
    <w:rPr/>
  </w:style>
  <w:style w:type="paragraph" w:styleId="Header">
    <w:name w:val="header"/>
    <w:basedOn w:val="Normal"/>
    <w:link w:val="HeaderChar"/>
    <w:uiPriority w:val="99"/>
    <w:unhideWhenUsed/>
    <w:rsid w:val="00501287"/>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501287"/>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347be8"/>
    <w:pPr>
      <w:spacing w:lineRule="auto" w:line="240" w:before="0" w:after="0"/>
    </w:pPr>
    <w:rPr>
      <w:rFonts w:ascii="Segoe UI" w:hAnsi="Segoe UI" w:cs="Segoe UI"/>
      <w:sz w:val="18"/>
      <w:szCs w:val="18"/>
    </w:rPr>
  </w:style>
  <w:style w:type="paragraph" w:styleId="NoSpacing">
    <w:name w:val="No Spacing"/>
    <w:link w:val="NoSpacingChar"/>
    <w:uiPriority w:val="1"/>
    <w:qFormat/>
    <w:rsid w:val="0045444e"/>
    <w:pPr>
      <w:widowControl/>
      <w:bidi w:val="0"/>
      <w:spacing w:lineRule="auto" w:line="240" w:before="0" w:after="0"/>
      <w:jc w:val="left"/>
    </w:pPr>
    <w:rPr>
      <w:rFonts w:ascii="Calibri" w:hAnsi="Calibri" w:eastAsia="" w:cs="" w:asciiTheme="minorHAnsi" w:cstheme="minorBidi" w:eastAsiaTheme="minorEastAsia" w:hAnsiTheme="minorHAnsi"/>
      <w:color w:val="auto"/>
      <w:kern w:val="0"/>
      <w:sz w:val="22"/>
      <w:szCs w:val="22"/>
      <w:lang w:val="en-US" w:eastAsia="en-US" w:bidi="ar-SA"/>
    </w:rPr>
  </w:style>
  <w:style w:type="paragraph" w:styleId="Revision">
    <w:name w:val="Revision"/>
    <w:uiPriority w:val="99"/>
    <w:semiHidden/>
    <w:qFormat/>
    <w:rsid w:val="00647146"/>
    <w:pPr>
      <w:widowControl/>
      <w:bidi w:val="0"/>
      <w:spacing w:lineRule="auto" w:line="240" w:before="0" w:after="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paragraph" w:styleId="CommentText">
    <w:name w:val="annotation text"/>
    <w:basedOn w:val="Normal"/>
    <w:link w:val="CommentTextChar"/>
    <w:uiPriority w:val="99"/>
    <w:unhideWhenUsed/>
    <w:rsid w:val="00647146"/>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647146"/>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08242f"/>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9DB30D24-676C-435E-9FBA-5E9758888FCB}">
  <ds:schemaRefs>
    <ds:schemaRef ds:uri="http://schemas.openxmlformats.org/officeDocument/2006/bibliography"/>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161</TotalTime>
  <Application>LibreOffice/26.2.0.3$Windows_X86_64 LibreOffice_project/620$Build-3</Application>
  <AppVersion>15.0000</AppVersion>
  <Pages>11</Pages>
  <Words>2611</Words>
  <Characters>14382</Characters>
  <CharactersWithSpaces>16683</CharactersWithSpaces>
  <Paragraphs>337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2025-09-12T05:45:00Z</dcterms:created>
  <dc:creator>mike</dc:creator>
  <dc:description/>
  <dc:language>en-GB</dc:language>
  <cp:lastModifiedBy/>
  <cp:lastPrinted>2026-03-09T10:57:06Z</cp:lastPrinted>
  <dcterms:modified xsi:type="dcterms:W3CDTF">2026-03-09T13:48:28Z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